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503767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300286">
        <w:rPr>
          <w:i/>
          <w:smallCaps/>
          <w:szCs w:val="24"/>
        </w:rPr>
        <w:t>od 2016/17 do 2017/18</w:t>
      </w:r>
      <w:bookmarkStart w:id="0" w:name="_GoBack"/>
      <w:bookmarkEnd w:id="0"/>
      <w:r w:rsidR="0053135E" w:rsidRPr="00503767">
        <w:rPr>
          <w:b/>
          <w:smallCaps/>
          <w:szCs w:val="24"/>
        </w:rPr>
        <w:t xml:space="preserve"> </w:t>
      </w:r>
      <w:r w:rsidRPr="00503767">
        <w:rPr>
          <w:b/>
          <w:smallCaps/>
          <w:szCs w:val="24"/>
        </w:rPr>
        <w:t xml:space="preserve"> 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4C3685" w:rsidRDefault="004C3685" w:rsidP="004C3685">
            <w:pPr>
              <w:rPr>
                <w:rFonts w:ascii="Times New Roman" w:hAnsi="Times New Roman"/>
              </w:rPr>
            </w:pPr>
            <w:r w:rsidRPr="004C3685">
              <w:rPr>
                <w:rFonts w:ascii="Times New Roman" w:hAnsi="Times New Roman"/>
              </w:rPr>
              <w:t>Zarządzanie funduszami europejskimi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CC5E12" w:rsidRPr="00BF2155" w:rsidRDefault="00CC5E12" w:rsidP="00CC5E12">
            <w:pPr>
              <w:pStyle w:val="Odpowiedzi"/>
              <w:rPr>
                <w:b w:val="0"/>
                <w:color w:val="auto"/>
                <w:sz w:val="22"/>
              </w:rPr>
            </w:pP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2A3E4B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A3E4B">
              <w:rPr>
                <w:b w:val="0"/>
                <w:color w:val="auto"/>
                <w:sz w:val="22"/>
              </w:rPr>
              <w:t>Zakład Prawa Handlowego i Gospodarczego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</w:t>
            </w:r>
            <w:r w:rsidR="004C3685">
              <w:rPr>
                <w:b w:val="0"/>
                <w:color w:val="auto"/>
                <w:sz w:val="22"/>
              </w:rPr>
              <w:t>I</w:t>
            </w:r>
            <w:r>
              <w:rPr>
                <w:b w:val="0"/>
                <w:color w:val="auto"/>
                <w:sz w:val="22"/>
              </w:rPr>
              <w:t xml:space="preserve">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C858E1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4C3685" w:rsidRDefault="004C3685" w:rsidP="004C3685">
            <w:r>
              <w:t>Rok II, semestr III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4C3685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Obowiązkowy</w:t>
            </w:r>
          </w:p>
        </w:tc>
      </w:tr>
      <w:tr w:rsidR="00CC5E12" w:rsidRPr="00300286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1D281F" w:rsidRDefault="001D281F" w:rsidP="001D281F">
            <w:pPr>
              <w:rPr>
                <w:lang w:val="en-US"/>
              </w:rPr>
            </w:pPr>
            <w:r>
              <w:rPr>
                <w:lang w:val="en-US"/>
              </w:rPr>
              <w:t xml:space="preserve">Prof. UR </w:t>
            </w: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Jan </w:t>
            </w:r>
            <w:proofErr w:type="spellStart"/>
            <w:r>
              <w:rPr>
                <w:lang w:val="en-US"/>
              </w:rPr>
              <w:t>Olszewski</w:t>
            </w:r>
            <w:proofErr w:type="spellEnd"/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1D281F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Paweł Wais</w:t>
            </w:r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Wykł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Konw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Sem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Prakt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3135E" w:rsidRDefault="00CC5E12" w:rsidP="00CC5E12">
            <w:pPr>
              <w:pStyle w:val="Nagwkitablic"/>
              <w:rPr>
                <w:b/>
                <w:sz w:val="22"/>
                <w:szCs w:val="22"/>
                <w:lang w:val="pl-PL" w:eastAsia="en-US"/>
              </w:rPr>
            </w:pPr>
            <w:r w:rsidRPr="0053135E">
              <w:rPr>
                <w:b/>
                <w:sz w:val="22"/>
                <w:szCs w:val="22"/>
                <w:lang w:val="pl-PL" w:eastAsia="en-US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4C3685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</w:rPr>
              <w:t>30</w:t>
            </w:r>
            <w:r w:rsidR="002A3E4B" w:rsidRPr="004F3CC5">
              <w:rPr>
                <w:sz w:val="22"/>
              </w:rPr>
              <w:t xml:space="preserve">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858E1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2A3E4B" w:rsidRDefault="004C3685" w:rsidP="00CC5E12">
      <w:pPr>
        <w:pStyle w:val="Punktygwne"/>
        <w:spacing w:before="0" w:after="0"/>
        <w:rPr>
          <w:sz w:val="22"/>
        </w:rPr>
      </w:pPr>
      <w:r>
        <w:rPr>
          <w:sz w:val="22"/>
        </w:rPr>
        <w:t xml:space="preserve">egzamin </w:t>
      </w:r>
      <w:r w:rsidRPr="001722E6">
        <w:rPr>
          <w:sz w:val="22"/>
        </w:rPr>
        <w:t xml:space="preserve">polega na </w:t>
      </w:r>
      <w:r>
        <w:rPr>
          <w:sz w:val="22"/>
        </w:rPr>
        <w:t xml:space="preserve">udzieleniu pisemnej </w:t>
      </w:r>
      <w:r w:rsidRPr="001722E6">
        <w:rPr>
          <w:sz w:val="22"/>
        </w:rPr>
        <w:t xml:space="preserve">odpowiedzi na </w:t>
      </w:r>
      <w:r>
        <w:rPr>
          <w:sz w:val="22"/>
        </w:rPr>
        <w:t>pytania opisowe</w:t>
      </w:r>
    </w:p>
    <w:p w:rsidR="004C3685" w:rsidRDefault="004C3685" w:rsidP="00CC5E12">
      <w:pPr>
        <w:pStyle w:val="Punktygwne"/>
        <w:spacing w:before="0" w:after="0"/>
        <w:rPr>
          <w:sz w:val="22"/>
        </w:rPr>
      </w:pPr>
    </w:p>
    <w:p w:rsidR="004C3685" w:rsidRPr="00AF4A52" w:rsidRDefault="004C3685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2A3E4B" w:rsidTr="00CC5E12">
        <w:tc>
          <w:tcPr>
            <w:tcW w:w="9778" w:type="dxa"/>
          </w:tcPr>
          <w:p w:rsidR="00CC5E12" w:rsidRPr="002A3E4B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  <w:p w:rsidR="00CC5E12" w:rsidRPr="002A3E4B" w:rsidRDefault="004C3685" w:rsidP="0014107C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>
              <w:rPr>
                <w:b w:val="0"/>
                <w:smallCaps w:val="0"/>
                <w:szCs w:val="20"/>
              </w:rPr>
              <w:t xml:space="preserve">Brak </w:t>
            </w:r>
          </w:p>
          <w:p w:rsidR="00CC5E12" w:rsidRPr="002A3E4B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53135E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4C3685" w:rsidRDefault="004C3685" w:rsidP="00C858E1">
            <w:pPr>
              <w:rPr>
                <w:i/>
              </w:rPr>
            </w:pPr>
            <w:r w:rsidRPr="004C3685">
              <w:rPr>
                <w:i/>
              </w:rPr>
              <w:t xml:space="preserve">Celem wykładu jest zapoznanie Studentów z ogólnymi zasadami tworzenia i rozliczania aplikacji projektowych oraz przekazanie ogólnych wiadomości dotyczących funduszy strukturalnych i </w:t>
            </w:r>
            <w:r w:rsidRPr="004C3685">
              <w:rPr>
                <w:i/>
              </w:rPr>
              <w:lastRenderedPageBreak/>
              <w:t>funduszu spójności, a także polityki regionalnej realizowanej w kraju. Dodatkowo c</w:t>
            </w:r>
            <w:r w:rsidRPr="004C3685">
              <w:rPr>
                <w:rStyle w:val="tab-details-body"/>
                <w:i/>
              </w:rPr>
              <w:t xml:space="preserve">elem </w:t>
            </w:r>
            <w:r w:rsidR="00C858E1">
              <w:rPr>
                <w:rStyle w:val="tab-details-body"/>
                <w:i/>
              </w:rPr>
              <w:t>zajęć</w:t>
            </w:r>
            <w:r w:rsidRPr="004C3685">
              <w:rPr>
                <w:rStyle w:val="tab-details-body"/>
                <w:i/>
              </w:rPr>
              <w:t xml:space="preserve"> jest nabycie wiedzy i umiejętności praktycznych w zakresie samodzielnego przygotowania wniosków aplikacyjnych i zarządzania projektami Unii Europejskiej oraz ich rozliczania.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Cele"/>
              <w:spacing w:before="40" w:after="40"/>
              <w:ind w:left="0" w:firstLine="0"/>
              <w:jc w:val="left"/>
              <w:rPr>
                <w:lang w:val="pl-PL"/>
              </w:rPr>
            </w:pPr>
            <w:r w:rsidRPr="0053135E">
              <w:rPr>
                <w:lang w:val="pl-PL"/>
              </w:rPr>
              <w:lastRenderedPageBreak/>
              <w:t>…</w:t>
            </w:r>
          </w:p>
        </w:tc>
        <w:tc>
          <w:tcPr>
            <w:tcW w:w="9103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proofErr w:type="spellStart"/>
            <w:r w:rsidRPr="0053135E">
              <w:rPr>
                <w:b w:val="0"/>
                <w:sz w:val="22"/>
                <w:lang w:val="pl-PL"/>
              </w:rPr>
              <w:t>Cn</w:t>
            </w:r>
            <w:proofErr w:type="spellEnd"/>
          </w:p>
        </w:tc>
        <w:tc>
          <w:tcPr>
            <w:tcW w:w="9103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CC5E1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877"/>
        <w:gridCol w:w="1852"/>
      </w:tblGrid>
      <w:tr w:rsidR="00CC5E12" w:rsidRPr="00AF4A52" w:rsidTr="004C3685">
        <w:tc>
          <w:tcPr>
            <w:tcW w:w="16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8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52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CC5E12" w:rsidRPr="00AF4A52" w:rsidTr="004C3685">
        <w:tc>
          <w:tcPr>
            <w:tcW w:w="16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7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57996">
              <w:rPr>
                <w:sz w:val="22"/>
              </w:rPr>
              <w:t xml:space="preserve">Zna </w:t>
            </w:r>
            <w:r>
              <w:rPr>
                <w:sz w:val="22"/>
              </w:rPr>
              <w:t>ogólne zasady tworzenia i rozliczania aplikacji projektowych</w:t>
            </w:r>
          </w:p>
        </w:tc>
        <w:tc>
          <w:tcPr>
            <w:tcW w:w="1852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z w:val="22"/>
              </w:rPr>
              <w:t>K_WO1+++, K_WO5+</w:t>
            </w:r>
          </w:p>
        </w:tc>
      </w:tr>
      <w:tr w:rsidR="00CC5E12" w:rsidRPr="00AF4A52" w:rsidTr="004C3685">
        <w:tc>
          <w:tcPr>
            <w:tcW w:w="16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7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57996">
              <w:rPr>
                <w:sz w:val="22"/>
              </w:rPr>
              <w:t xml:space="preserve">Zna </w:t>
            </w:r>
            <w:r>
              <w:rPr>
                <w:sz w:val="22"/>
              </w:rPr>
              <w:t>środowisko dotacji UE</w:t>
            </w:r>
          </w:p>
        </w:tc>
        <w:tc>
          <w:tcPr>
            <w:tcW w:w="1852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z w:val="22"/>
              </w:rPr>
              <w:t>K_WO9++, K_W10+, K_W13++</w:t>
            </w:r>
          </w:p>
        </w:tc>
      </w:tr>
      <w:tr w:rsidR="00CC5E12" w:rsidRPr="00AF4A52" w:rsidTr="004C3685">
        <w:tc>
          <w:tcPr>
            <w:tcW w:w="1677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5877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57996">
              <w:rPr>
                <w:sz w:val="22"/>
              </w:rPr>
              <w:t>Wskazuje przepisy</w:t>
            </w:r>
            <w:r>
              <w:rPr>
                <w:sz w:val="22"/>
              </w:rPr>
              <w:t xml:space="preserve"> </w:t>
            </w:r>
            <w:r w:rsidRPr="00957996">
              <w:rPr>
                <w:sz w:val="22"/>
              </w:rPr>
              <w:t>prawa wspólnotowego i prawa krajowego</w:t>
            </w:r>
            <w:r>
              <w:rPr>
                <w:sz w:val="22"/>
              </w:rPr>
              <w:t xml:space="preserve"> oraz dokumenty</w:t>
            </w:r>
            <w:r w:rsidRPr="00957996">
              <w:rPr>
                <w:sz w:val="22"/>
              </w:rPr>
              <w:t xml:space="preserve"> tworzące ramy </w:t>
            </w:r>
            <w:r>
              <w:rPr>
                <w:sz w:val="22"/>
              </w:rPr>
              <w:t>dla wdrażania i realizacji funduszy strukturalnych w Polsce</w:t>
            </w:r>
          </w:p>
        </w:tc>
        <w:tc>
          <w:tcPr>
            <w:tcW w:w="1852" w:type="dxa"/>
          </w:tcPr>
          <w:p w:rsidR="004C3685" w:rsidRDefault="004C3685" w:rsidP="00CC5E12">
            <w:pPr>
              <w:pStyle w:val="Punktygwne"/>
              <w:spacing w:before="0" w:after="0"/>
              <w:rPr>
                <w:sz w:val="22"/>
              </w:rPr>
            </w:pPr>
            <w:r>
              <w:rPr>
                <w:sz w:val="22"/>
              </w:rPr>
              <w:t>K_UO1+</w:t>
            </w:r>
          </w:p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z w:val="22"/>
              </w:rPr>
              <w:t>K_UO4+++, K_UO8+</w:t>
            </w:r>
          </w:p>
        </w:tc>
      </w:tr>
      <w:tr w:rsidR="00CC5E12" w:rsidRPr="00AF4A52" w:rsidTr="004C3685">
        <w:tc>
          <w:tcPr>
            <w:tcW w:w="1677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877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57996">
              <w:rPr>
                <w:sz w:val="22"/>
              </w:rPr>
              <w:t xml:space="preserve">Dostrzega zmienność w kształtowaniu się celów, zasad i instrumentów </w:t>
            </w:r>
            <w:r>
              <w:rPr>
                <w:sz w:val="22"/>
              </w:rPr>
              <w:t>postępowania aplikacyjnego</w:t>
            </w:r>
          </w:p>
        </w:tc>
        <w:tc>
          <w:tcPr>
            <w:tcW w:w="1852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z w:val="22"/>
              </w:rPr>
              <w:t>K_KO1+, K_KO4+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CC5E12" w:rsidRPr="00AF4A5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CC5E12" w:rsidRPr="00AF4A52" w:rsidTr="00F93015">
        <w:tc>
          <w:tcPr>
            <w:tcW w:w="8364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F93015">
        <w:tc>
          <w:tcPr>
            <w:tcW w:w="836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757"/>
              <w:gridCol w:w="1381"/>
            </w:tblGrid>
            <w:tr w:rsidR="00F93015" w:rsidRPr="00111672" w:rsidTr="00201A7C">
              <w:trPr>
                <w:trHeight w:val="168"/>
              </w:trPr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Treści merytoryczne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Liczba godzin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W1</w:t>
                  </w:r>
                  <w:r w:rsidRPr="00111672">
                    <w:rPr>
                      <w:sz w:val="18"/>
                      <w:szCs w:val="18"/>
                    </w:rPr>
                    <w:t xml:space="preserve"> – </w:t>
                  </w:r>
                  <w:r w:rsidRPr="001D4A37">
                    <w:rPr>
                      <w:sz w:val="18"/>
                      <w:szCs w:val="18"/>
                    </w:rPr>
                    <w:t>Podstawowe pojęcia w zakresie funduszy unijnych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W2</w:t>
                  </w:r>
                  <w:r w:rsidRPr="00111672">
                    <w:rPr>
                      <w:sz w:val="18"/>
                      <w:szCs w:val="18"/>
                    </w:rPr>
                    <w:t xml:space="preserve"> – Informacja o najważniejszych dokumentach wytaczających sposoby aplikowania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W3</w:t>
                  </w:r>
                  <w:r w:rsidRPr="00111672">
                    <w:rPr>
                      <w:sz w:val="18"/>
                      <w:szCs w:val="18"/>
                    </w:rPr>
                    <w:t xml:space="preserve"> – Omówienie podstawowych technik programowania i zasad jakim powinien się kierować  piszący aplikacje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W4</w:t>
                  </w:r>
                  <w:r w:rsidRPr="00111672">
                    <w:rPr>
                      <w:sz w:val="18"/>
                      <w:szCs w:val="18"/>
                    </w:rPr>
                    <w:t xml:space="preserve"> – Rodzaje projektów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W5</w:t>
                  </w:r>
                  <w:r w:rsidRPr="00111672">
                    <w:rPr>
                      <w:sz w:val="18"/>
                      <w:szCs w:val="18"/>
                    </w:rPr>
                    <w:t xml:space="preserve"> – Logika interwencji, uzasadnianie obranych celów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W6</w:t>
                  </w:r>
                  <w:r w:rsidRPr="00111672">
                    <w:rPr>
                      <w:sz w:val="18"/>
                      <w:szCs w:val="18"/>
                    </w:rPr>
                    <w:t xml:space="preserve"> – Technika budowania harmonogramów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W7</w:t>
                  </w:r>
                  <w:r w:rsidRPr="00111672">
                    <w:rPr>
                      <w:sz w:val="18"/>
                      <w:szCs w:val="18"/>
                    </w:rPr>
                    <w:t xml:space="preserve"> – Planowanie wydatków konstrukcja </w:t>
                  </w:r>
                  <w:proofErr w:type="spellStart"/>
                  <w:r w:rsidRPr="00111672">
                    <w:rPr>
                      <w:sz w:val="18"/>
                      <w:szCs w:val="18"/>
                    </w:rPr>
                    <w:t>budżetu,montaż</w:t>
                  </w:r>
                  <w:proofErr w:type="spellEnd"/>
                  <w:r w:rsidRPr="00111672">
                    <w:rPr>
                      <w:sz w:val="18"/>
                      <w:szCs w:val="18"/>
                    </w:rPr>
                    <w:t xml:space="preserve"> finansowy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W8</w:t>
                  </w:r>
                  <w:r w:rsidRPr="00111672">
                    <w:rPr>
                      <w:sz w:val="18"/>
                      <w:szCs w:val="18"/>
                    </w:rPr>
                    <w:t xml:space="preserve"> – Rozliczanie i ewaluacja sprawozdania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30</w:t>
                  </w:r>
                </w:p>
              </w:tc>
            </w:tr>
          </w:tbl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:rsidR="00CC5E12" w:rsidRPr="00AF4A52" w:rsidRDefault="00CC5E12" w:rsidP="00CC5E12"/>
    <w:p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p w:rsidR="00CC5E12" w:rsidRPr="00AF4A52" w:rsidRDefault="00CC5E12" w:rsidP="00CC5E12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  <w:r w:rsidRPr="00AF4A52">
              <w:t xml:space="preserve"> 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14107C" w:rsidRDefault="0014107C" w:rsidP="0014107C">
      <w:pPr>
        <w:numPr>
          <w:ilvl w:val="0"/>
          <w:numId w:val="6"/>
        </w:numPr>
        <w:spacing w:after="0" w:line="240" w:lineRule="auto"/>
        <w:jc w:val="both"/>
      </w:pPr>
      <w:r>
        <w:t xml:space="preserve">Wykład </w:t>
      </w:r>
    </w:p>
    <w:p w:rsidR="0014107C" w:rsidRDefault="0014107C" w:rsidP="0014107C">
      <w:pPr>
        <w:numPr>
          <w:ilvl w:val="0"/>
          <w:numId w:val="6"/>
        </w:numPr>
        <w:spacing w:after="0" w:line="240" w:lineRule="auto"/>
        <w:jc w:val="both"/>
      </w:pPr>
      <w:r>
        <w:t>Analiza i interpretacja tekstów źródłowych</w:t>
      </w:r>
    </w:p>
    <w:p w:rsidR="00CC5E12" w:rsidRPr="002A3E4B" w:rsidRDefault="0014107C" w:rsidP="0014107C">
      <w:pPr>
        <w:numPr>
          <w:ilvl w:val="0"/>
          <w:numId w:val="6"/>
        </w:numPr>
        <w:spacing w:after="0" w:line="240" w:lineRule="auto"/>
        <w:jc w:val="both"/>
        <w:rPr>
          <w:rFonts w:eastAsia="Cambria"/>
        </w:rPr>
      </w:pPr>
      <w:r>
        <w:t>dyskusja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4881"/>
        <w:gridCol w:w="2187"/>
      </w:tblGrid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F930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  <w:r w:rsidR="00F14C91">
              <w:rPr>
                <w:b w:val="0"/>
                <w:sz w:val="22"/>
              </w:rPr>
              <w:t>– EK_</w:t>
            </w:r>
            <w:r w:rsidR="00F93015">
              <w:rPr>
                <w:b w:val="0"/>
                <w:sz w:val="22"/>
              </w:rPr>
              <w:t>4</w:t>
            </w:r>
          </w:p>
        </w:tc>
        <w:tc>
          <w:tcPr>
            <w:tcW w:w="5103" w:type="dxa"/>
          </w:tcPr>
          <w:p w:rsidR="00CC5E12" w:rsidRPr="00514A50" w:rsidRDefault="00F14C91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pisemny, udział w konsultacjach</w:t>
            </w:r>
          </w:p>
        </w:tc>
        <w:tc>
          <w:tcPr>
            <w:tcW w:w="2233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:rsidR="00CC5E12" w:rsidRPr="005E6E85" w:rsidRDefault="00CC5E12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AF4A52" w:rsidTr="00CC5E12">
        <w:tc>
          <w:tcPr>
            <w:tcW w:w="9244" w:type="dxa"/>
          </w:tcPr>
          <w:p w:rsidR="00CC5E12" w:rsidRPr="00F93015" w:rsidRDefault="00F93015" w:rsidP="00F93015">
            <w:r>
              <w:t>Wynik pozytywny z egzaminu osiąga osoba, która udzieli odpowiedzi poprawnej na co najmniej połowę pytań podczas egzaminu pisemnego. Konkretne kryteria oceny zostaną uzależnione od liczby pytań występujących na egzaminie.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CC5E12" w:rsidRPr="00AF4A52" w:rsidRDefault="002A3E4B" w:rsidP="00F93015">
            <w:pPr>
              <w:pStyle w:val="Akapitzlist"/>
              <w:spacing w:after="120" w:line="240" w:lineRule="auto"/>
              <w:ind w:left="0"/>
            </w:pPr>
            <w:r>
              <w:t xml:space="preserve">Wykład – </w:t>
            </w:r>
            <w:r w:rsidR="00F93015">
              <w:t>30</w:t>
            </w:r>
            <w:r>
              <w:t xml:space="preserve">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F93015" w:rsidP="0014107C">
            <w:pPr>
              <w:pStyle w:val="Akapitzlist"/>
              <w:spacing w:after="120" w:line="240" w:lineRule="auto"/>
              <w:ind w:left="0"/>
            </w:pPr>
            <w:r>
              <w:t>3</w:t>
            </w:r>
            <w:r w:rsidR="0014107C">
              <w:t xml:space="preserve"> </w:t>
            </w:r>
            <w:r w:rsidR="002A3E4B" w:rsidRPr="00695EB5">
              <w:t>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F93015" w:rsidP="00CC5E12">
            <w:pPr>
              <w:pStyle w:val="Akapitzlist"/>
              <w:spacing w:after="120" w:line="240" w:lineRule="auto"/>
              <w:ind w:left="0"/>
            </w:pPr>
            <w:r>
              <w:t>91</w:t>
            </w:r>
            <w:r w:rsidR="0014107C">
              <w:t xml:space="preserve"> </w:t>
            </w:r>
            <w:r w:rsidR="0014107C" w:rsidRPr="00695EB5">
              <w:t>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2A3E4B" w:rsidP="00CC5E12">
            <w:pPr>
              <w:pStyle w:val="Akapitzlist"/>
              <w:spacing w:after="120" w:line="240" w:lineRule="auto"/>
              <w:ind w:left="0"/>
            </w:pPr>
            <w:r w:rsidRPr="00695EB5">
              <w:t>1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AF4A52" w:rsidRDefault="00F93015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125</w:t>
            </w:r>
            <w:r w:rsidR="002A3E4B">
              <w:rPr>
                <w:i/>
              </w:rPr>
              <w:t xml:space="preserve">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AF4A52" w:rsidRDefault="00F93015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F93015" w:rsidRDefault="0014107C" w:rsidP="00CC5E12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14107C">
        <w:rPr>
          <w:b w:val="0"/>
          <w:iCs/>
          <w:smallCaps w:val="0"/>
          <w:sz w:val="22"/>
        </w:rPr>
        <w:t xml:space="preserve">Nakład pracy związany z zajęciami wymagającymi bezpośredniego udziału nauczycieli akademickich </w:t>
      </w:r>
      <w:r w:rsidRPr="00F93015">
        <w:rPr>
          <w:b w:val="0"/>
          <w:iCs/>
          <w:smallCaps w:val="0"/>
          <w:sz w:val="22"/>
        </w:rPr>
        <w:t xml:space="preserve">wynosi: </w:t>
      </w:r>
      <w:r w:rsidR="00F93015" w:rsidRPr="00F93015">
        <w:rPr>
          <w:b w:val="0"/>
        </w:rPr>
        <w:t>30+3+1=34 godz., co odpowiada ok. 1 punktowi ECTS</w:t>
      </w:r>
      <w:r w:rsidRPr="00F93015">
        <w:rPr>
          <w:b w:val="0"/>
          <w:iCs/>
          <w:smallCaps w:val="0"/>
          <w:sz w:val="22"/>
        </w:rPr>
        <w:t xml:space="preserve">  </w:t>
      </w:r>
    </w:p>
    <w:p w:rsidR="00F93015" w:rsidRDefault="00F93015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F93015" w:rsidRPr="00AF4A52" w:rsidRDefault="00F93015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F93015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F93015">
              <w:rPr>
                <w:b w:val="0"/>
                <w:i/>
                <w:smallCaps w:val="0"/>
                <w:sz w:val="22"/>
              </w:rPr>
              <w:t>brak</w:t>
            </w: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F93015" w:rsidRPr="00DD6928" w:rsidRDefault="00F93015" w:rsidP="00F93015">
            <w:pPr>
              <w:rPr>
                <w:b/>
                <w:bCs/>
              </w:rPr>
            </w:pPr>
            <w:r w:rsidRPr="00DD6928">
              <w:rPr>
                <w:b/>
                <w:bCs/>
              </w:rPr>
              <w:t>Literatura podstawowa:</w:t>
            </w:r>
          </w:p>
          <w:p w:rsidR="00F93015" w:rsidRPr="006040BC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b/>
                <w:bCs/>
                <w:lang w:eastAsia="pl-PL"/>
              </w:rPr>
            </w:pPr>
            <w:r w:rsidRPr="00EE5872">
              <w:rPr>
                <w:i/>
                <w:iCs/>
              </w:rPr>
              <w:t>Wytyczne w zakresie wdrażania projektów innowacyjnych i współpracy ponadnarodowej w ramach Programu Operacyjnego Kapitał Ludzki</w:t>
            </w:r>
            <w:r>
              <w:t>, Warszawa 2012</w:t>
            </w:r>
          </w:p>
          <w:p w:rsidR="00F93015" w:rsidRPr="00EE5872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b/>
                <w:bCs/>
                <w:lang w:eastAsia="pl-PL"/>
              </w:rPr>
            </w:pPr>
            <w:r>
              <w:rPr>
                <w:i/>
                <w:iCs/>
              </w:rPr>
              <w:t xml:space="preserve">Przewodnik po zasadach rozliczania dotacji w Funduszy Europejskich, </w:t>
            </w:r>
            <w:r w:rsidRPr="006040BC">
              <w:t>Warszawa 2012</w:t>
            </w:r>
          </w:p>
          <w:p w:rsidR="00F93015" w:rsidRPr="000045ED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lang w:eastAsia="pl-PL"/>
              </w:rPr>
            </w:pPr>
            <w:r w:rsidRPr="000045ED">
              <w:rPr>
                <w:i/>
                <w:iCs/>
                <w:lang w:eastAsia="pl-PL"/>
              </w:rPr>
              <w:t>Fundusze Europejskie w Polsce</w:t>
            </w:r>
            <w:r>
              <w:rPr>
                <w:i/>
                <w:iCs/>
                <w:lang w:eastAsia="pl-PL"/>
              </w:rPr>
              <w:t>. Biuletyn Informacyjny</w:t>
            </w:r>
            <w:r w:rsidRPr="000045ED">
              <w:rPr>
                <w:lang w:eastAsia="pl-PL"/>
              </w:rPr>
              <w:t xml:space="preserve"> (</w:t>
            </w:r>
            <w:r>
              <w:rPr>
                <w:lang w:eastAsia="pl-PL"/>
              </w:rPr>
              <w:t>www.funduszeeuropejskie.gov.pl</w:t>
            </w:r>
            <w:r w:rsidRPr="000045ED">
              <w:rPr>
                <w:lang w:eastAsia="pl-PL"/>
              </w:rPr>
              <w:t>)</w:t>
            </w:r>
          </w:p>
          <w:p w:rsidR="00F93015" w:rsidRPr="00D2446D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b/>
                <w:bCs/>
                <w:lang w:eastAsia="pl-PL"/>
              </w:rPr>
            </w:pPr>
            <w:r w:rsidRPr="00D2446D">
              <w:rPr>
                <w:i/>
                <w:iCs/>
              </w:rPr>
              <w:t>Ogólne zasady wdrażania funduszy strukturalnych w Polsce. Podręcznik</w:t>
            </w:r>
            <w:r w:rsidRPr="00D2446D">
              <w:t>, Ministerstwo gospodarki, Pracy i Polityki Społecznej, Warszawa 2003</w:t>
            </w:r>
          </w:p>
          <w:p w:rsidR="00F93015" w:rsidRPr="00D2446D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lang w:eastAsia="pl-PL"/>
              </w:rPr>
            </w:pPr>
            <w:r w:rsidRPr="00D2446D">
              <w:t xml:space="preserve">J. Olszewski (red.), </w:t>
            </w:r>
            <w:r w:rsidRPr="00D2446D">
              <w:rPr>
                <w:i/>
                <w:iCs/>
              </w:rPr>
              <w:t>Publiczne prawo gospodarcze</w:t>
            </w:r>
            <w:r w:rsidRPr="00D2446D">
              <w:t>, C.H. Beck 2011 (wybrane rozdziały):</w:t>
            </w:r>
            <w:r w:rsidRPr="00D2446D">
              <w:br/>
              <w:t xml:space="preserve">- </w:t>
            </w:r>
            <w:r w:rsidRPr="00D2446D">
              <w:rPr>
                <w:b/>
                <w:bCs/>
              </w:rPr>
              <w:t>Część III</w:t>
            </w:r>
            <w:r>
              <w:rPr>
                <w:b/>
                <w:bCs/>
              </w:rPr>
              <w:t>.</w:t>
            </w:r>
            <w:r w:rsidRPr="00D2446D">
              <w:rPr>
                <w:b/>
                <w:bCs/>
              </w:rPr>
              <w:t xml:space="preserve"> Rozdział </w:t>
            </w:r>
            <w:proofErr w:type="spellStart"/>
            <w:r w:rsidRPr="00D2446D">
              <w:rPr>
                <w:b/>
                <w:bCs/>
              </w:rPr>
              <w:t>II</w:t>
            </w:r>
            <w:r w:rsidRPr="00D2446D">
              <w:rPr>
                <w:i/>
                <w:iCs/>
              </w:rPr>
              <w:t>Pomoc</w:t>
            </w:r>
            <w:proofErr w:type="spellEnd"/>
            <w:r w:rsidRPr="00D2446D">
              <w:rPr>
                <w:i/>
                <w:iCs/>
              </w:rPr>
              <w:t xml:space="preserve"> publiczna dla przedsiębiorców</w:t>
            </w:r>
            <w:r w:rsidRPr="00D2446D">
              <w:t>, s. 311-340</w:t>
            </w:r>
            <w:r w:rsidRPr="00D2446D">
              <w:br/>
              <w:t xml:space="preserve">- </w:t>
            </w:r>
            <w:r w:rsidRPr="00D2446D">
              <w:rPr>
                <w:b/>
                <w:bCs/>
                <w:lang w:eastAsia="pl-PL"/>
              </w:rPr>
              <w:t>Część V</w:t>
            </w:r>
            <w:r w:rsidRPr="00D2446D">
              <w:rPr>
                <w:lang w:eastAsia="pl-PL"/>
              </w:rPr>
              <w:t xml:space="preserve">. </w:t>
            </w:r>
            <w:r w:rsidRPr="00D2446D">
              <w:rPr>
                <w:i/>
                <w:iCs/>
                <w:lang w:eastAsia="pl-PL"/>
              </w:rPr>
              <w:t>Realizacja planowania poprzez politykę rozwoju i zagospodarowanie przestrzenne</w:t>
            </w:r>
            <w:r>
              <w:rPr>
                <w:lang w:eastAsia="pl-PL"/>
              </w:rPr>
              <w:t>, s. 405-454</w:t>
            </w:r>
          </w:p>
          <w:p w:rsidR="00F93015" w:rsidRPr="00111672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</w:pPr>
            <w:r w:rsidRPr="00111672">
              <w:t xml:space="preserve">W. </w:t>
            </w:r>
            <w:proofErr w:type="spellStart"/>
            <w:r w:rsidRPr="00111672">
              <w:t>Sługocki</w:t>
            </w:r>
            <w:proofErr w:type="spellEnd"/>
            <w:r w:rsidRPr="00111672">
              <w:t xml:space="preserve">, K. </w:t>
            </w:r>
            <w:proofErr w:type="spellStart"/>
            <w:r w:rsidRPr="00111672">
              <w:t>Olek</w:t>
            </w:r>
            <w:r>
              <w:t>,</w:t>
            </w:r>
            <w:r w:rsidRPr="00111672">
              <w:rPr>
                <w:i/>
                <w:iCs/>
              </w:rPr>
              <w:t>Informacje</w:t>
            </w:r>
            <w:proofErr w:type="spellEnd"/>
            <w:r w:rsidRPr="00111672">
              <w:rPr>
                <w:i/>
                <w:iCs/>
              </w:rPr>
              <w:t xml:space="preserve"> wprowadzające do polityki strukturalnej Unii Europejskiej</w:t>
            </w:r>
            <w:r w:rsidRPr="00111672">
              <w:t>, Instytut Biznesu</w:t>
            </w:r>
            <w:r>
              <w:t xml:space="preserve"> 2004</w:t>
            </w:r>
          </w:p>
          <w:p w:rsidR="00CC5E12" w:rsidRPr="00F93015" w:rsidRDefault="00CC5E12" w:rsidP="00F93015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CC5E12" w:rsidRPr="00AF4A52" w:rsidTr="00CC5E12">
        <w:tc>
          <w:tcPr>
            <w:tcW w:w="7513" w:type="dxa"/>
          </w:tcPr>
          <w:p w:rsidR="00F93015" w:rsidRPr="00DD6928" w:rsidRDefault="00F93015" w:rsidP="00F93015">
            <w:pPr>
              <w:rPr>
                <w:b/>
                <w:bCs/>
              </w:rPr>
            </w:pPr>
            <w:r w:rsidRPr="00DD6928">
              <w:rPr>
                <w:b/>
                <w:bCs/>
              </w:rPr>
              <w:t>Literatura uzupełniająca:</w:t>
            </w:r>
          </w:p>
          <w:p w:rsidR="00F93015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</w:pPr>
            <w:r>
              <w:t xml:space="preserve">J. Olszewski, </w:t>
            </w:r>
            <w:r w:rsidRPr="000045ED">
              <w:rPr>
                <w:i/>
                <w:iCs/>
              </w:rPr>
              <w:t>Prawo i instytucje Wspólnot Europejskich</w:t>
            </w:r>
            <w:r>
              <w:t>, Przemyśl 2003</w:t>
            </w:r>
          </w:p>
          <w:p w:rsidR="00F93015" w:rsidRPr="00111672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</w:pPr>
            <w:r w:rsidRPr="00111672">
              <w:t xml:space="preserve">Fundusze Strukturalne 2007-2013 </w:t>
            </w:r>
            <w:r w:rsidRPr="00A75963">
              <w:t>www.funduszestrukturalne.gov.pl</w:t>
            </w:r>
          </w:p>
          <w:p w:rsidR="00F93015" w:rsidRPr="00111672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</w:pPr>
            <w:r w:rsidRPr="00111672">
              <w:rPr>
                <w:i/>
                <w:iCs/>
              </w:rPr>
              <w:t>Podręcznik zarządzania projektami miękkimi w kontekście EFS</w:t>
            </w:r>
            <w:r w:rsidRPr="00111672">
              <w:t>, Ministerstwo Rozwoju Regionalnego, 2006</w:t>
            </w:r>
            <w:r>
              <w:t>;</w:t>
            </w:r>
          </w:p>
          <w:p w:rsidR="00F93015" w:rsidRPr="00111672" w:rsidRDefault="00F93015" w:rsidP="00F9301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59"/>
            </w:pPr>
            <w:r>
              <w:t xml:space="preserve">Jankowska, </w:t>
            </w:r>
            <w:r w:rsidRPr="00111672">
              <w:rPr>
                <w:i/>
                <w:iCs/>
              </w:rPr>
              <w:t>Fundusze Unii Europejskiej w okresie programowania 2007-2013</w:t>
            </w:r>
            <w:r w:rsidRPr="00111672">
              <w:t>, PARP, Warszawa, 2005</w:t>
            </w:r>
          </w:p>
          <w:p w:rsidR="00CC5E12" w:rsidRPr="002A3E4B" w:rsidRDefault="00CC5E12" w:rsidP="00CC5E12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692B2F"/>
    <w:multiLevelType w:val="hybridMultilevel"/>
    <w:tmpl w:val="ED906A56"/>
    <w:lvl w:ilvl="0" w:tplc="E98AEF74">
      <w:start w:val="12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24B0C03"/>
    <w:multiLevelType w:val="hybridMultilevel"/>
    <w:tmpl w:val="66A41B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627B7"/>
    <w:multiLevelType w:val="hybridMultilevel"/>
    <w:tmpl w:val="B3822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93419"/>
    <w:multiLevelType w:val="hybridMultilevel"/>
    <w:tmpl w:val="6032D4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02E14"/>
    <w:multiLevelType w:val="hybridMultilevel"/>
    <w:tmpl w:val="EA509E8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0">
    <w:nsid w:val="789300C9"/>
    <w:multiLevelType w:val="hybridMultilevel"/>
    <w:tmpl w:val="DC6A6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E12"/>
    <w:rsid w:val="001026EF"/>
    <w:rsid w:val="0014107C"/>
    <w:rsid w:val="00185992"/>
    <w:rsid w:val="001D281F"/>
    <w:rsid w:val="001F486C"/>
    <w:rsid w:val="00237C15"/>
    <w:rsid w:val="00245D04"/>
    <w:rsid w:val="002A3E4B"/>
    <w:rsid w:val="002F41ED"/>
    <w:rsid w:val="00300286"/>
    <w:rsid w:val="003D0A7F"/>
    <w:rsid w:val="004C3685"/>
    <w:rsid w:val="004E695D"/>
    <w:rsid w:val="00514A50"/>
    <w:rsid w:val="0053135E"/>
    <w:rsid w:val="00564888"/>
    <w:rsid w:val="006027BC"/>
    <w:rsid w:val="007D3B36"/>
    <w:rsid w:val="00875BFA"/>
    <w:rsid w:val="00875C1B"/>
    <w:rsid w:val="008E307D"/>
    <w:rsid w:val="00A846F6"/>
    <w:rsid w:val="00AF3A82"/>
    <w:rsid w:val="00B026EB"/>
    <w:rsid w:val="00BF2155"/>
    <w:rsid w:val="00C858E1"/>
    <w:rsid w:val="00CA1501"/>
    <w:rsid w:val="00CC5E12"/>
    <w:rsid w:val="00D32A91"/>
    <w:rsid w:val="00E31356"/>
    <w:rsid w:val="00E81F20"/>
    <w:rsid w:val="00EB0AD7"/>
    <w:rsid w:val="00EC68EC"/>
    <w:rsid w:val="00F14C91"/>
    <w:rsid w:val="00F614A7"/>
    <w:rsid w:val="00F77E0B"/>
    <w:rsid w:val="00F9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character" w:customStyle="1" w:styleId="tytul1">
    <w:name w:val="tytul1"/>
    <w:basedOn w:val="Domylnaczcionkaakapitu"/>
    <w:rsid w:val="002A3E4B"/>
    <w:rPr>
      <w:rFonts w:cs="Times New Roman"/>
      <w:b/>
      <w:bCs/>
      <w:color w:val="204691"/>
      <w:sz w:val="20"/>
      <w:szCs w:val="20"/>
    </w:rPr>
  </w:style>
  <w:style w:type="character" w:customStyle="1" w:styleId="tab-details-body">
    <w:name w:val="tab-details-body"/>
    <w:basedOn w:val="Domylnaczcionkaakapitu"/>
    <w:uiPriority w:val="99"/>
    <w:rsid w:val="004C36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character" w:customStyle="1" w:styleId="tytul1">
    <w:name w:val="tytul1"/>
    <w:basedOn w:val="Domylnaczcionkaakapitu"/>
    <w:rsid w:val="002A3E4B"/>
    <w:rPr>
      <w:rFonts w:cs="Times New Roman"/>
      <w:b/>
      <w:bCs/>
      <w:color w:val="204691"/>
      <w:sz w:val="20"/>
      <w:szCs w:val="20"/>
    </w:rPr>
  </w:style>
  <w:style w:type="character" w:customStyle="1" w:styleId="tab-details-body">
    <w:name w:val="tab-details-body"/>
    <w:basedOn w:val="Domylnaczcionkaakapitu"/>
    <w:uiPriority w:val="99"/>
    <w:rsid w:val="004C3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12</cp:revision>
  <dcterms:created xsi:type="dcterms:W3CDTF">2015-03-30T06:52:00Z</dcterms:created>
  <dcterms:modified xsi:type="dcterms:W3CDTF">2016-10-07T07:21:00Z</dcterms:modified>
</cp:coreProperties>
</file>